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0C6" w:rsidRPr="002E2F2E" w:rsidRDefault="00DC50C6" w:rsidP="00DC50C6">
      <w:pPr>
        <w:jc w:val="both"/>
        <w:rPr>
          <w:color w:val="111111"/>
        </w:rPr>
      </w:pPr>
      <w:r w:rsidRPr="002E2F2E">
        <w:rPr>
          <w:rFonts w:ascii="Arial" w:hAnsi="Arial" w:cs="Arial"/>
          <w:color w:val="111111"/>
        </w:rPr>
        <w:t>Each</w:t>
      </w:r>
      <w:r w:rsidRPr="002E2F2E">
        <w:rPr>
          <w:rFonts w:ascii="Arial" w:hAnsi="Arial" w:cs="Arial"/>
          <w:color w:val="111111"/>
          <w:spacing w:val="14"/>
        </w:rPr>
        <w:t xml:space="preserve"> </w:t>
      </w:r>
      <w:r w:rsidR="002D4917">
        <w:rPr>
          <w:rFonts w:ascii="Arial" w:hAnsi="Arial" w:cs="Arial"/>
          <w:color w:val="111111"/>
        </w:rPr>
        <w:t>TAFE College</w:t>
      </w:r>
      <w:r w:rsidRPr="002E2F2E">
        <w:rPr>
          <w:rFonts w:ascii="Arial" w:hAnsi="Arial" w:cs="Arial"/>
          <w:color w:val="111111"/>
          <w:spacing w:val="31"/>
        </w:rPr>
        <w:t xml:space="preserve"> </w:t>
      </w:r>
      <w:r w:rsidRPr="002E2F2E">
        <w:rPr>
          <w:rFonts w:ascii="Arial" w:hAnsi="Arial" w:cs="Arial"/>
          <w:color w:val="111111"/>
        </w:rPr>
        <w:t>is</w:t>
      </w:r>
      <w:r w:rsidRPr="002E2F2E">
        <w:rPr>
          <w:rFonts w:ascii="Arial" w:hAnsi="Arial" w:cs="Arial"/>
          <w:color w:val="111111"/>
          <w:spacing w:val="15"/>
        </w:rPr>
        <w:t xml:space="preserve"> </w:t>
      </w:r>
      <w:r w:rsidRPr="002E2F2E">
        <w:rPr>
          <w:rFonts w:ascii="Arial" w:hAnsi="Arial" w:cs="Arial"/>
          <w:color w:val="111111"/>
          <w:spacing w:val="-1"/>
        </w:rPr>
        <w:t>required</w:t>
      </w:r>
      <w:r w:rsidRPr="002E2F2E">
        <w:rPr>
          <w:rFonts w:ascii="Arial" w:hAnsi="Arial" w:cs="Arial"/>
          <w:color w:val="111111"/>
          <w:spacing w:val="3"/>
        </w:rPr>
        <w:t xml:space="preserve"> </w:t>
      </w:r>
      <w:r w:rsidRPr="002E2F2E">
        <w:rPr>
          <w:rFonts w:ascii="Arial" w:hAnsi="Arial" w:cs="Arial"/>
          <w:color w:val="111111"/>
        </w:rPr>
        <w:t>to</w:t>
      </w:r>
      <w:r w:rsidRPr="002E2F2E">
        <w:rPr>
          <w:rFonts w:ascii="Arial" w:hAnsi="Arial" w:cs="Arial"/>
          <w:color w:val="111111"/>
          <w:spacing w:val="28"/>
        </w:rPr>
        <w:t xml:space="preserve"> </w:t>
      </w:r>
      <w:r w:rsidRPr="002E2F2E">
        <w:rPr>
          <w:rFonts w:ascii="Arial" w:hAnsi="Arial" w:cs="Arial"/>
          <w:color w:val="111111"/>
          <w:spacing w:val="-1"/>
        </w:rPr>
        <w:t>comply</w:t>
      </w:r>
      <w:r w:rsidRPr="002E2F2E">
        <w:rPr>
          <w:rFonts w:ascii="Arial" w:hAnsi="Arial" w:cs="Arial"/>
          <w:color w:val="111111"/>
          <w:spacing w:val="13"/>
        </w:rPr>
        <w:t xml:space="preserve"> </w:t>
      </w:r>
      <w:r w:rsidRPr="002E2F2E">
        <w:rPr>
          <w:rFonts w:ascii="Arial" w:hAnsi="Arial" w:cs="Arial"/>
          <w:color w:val="111111"/>
          <w:spacing w:val="-1"/>
        </w:rPr>
        <w:t>with</w:t>
      </w:r>
      <w:r w:rsidRPr="002E2F2E">
        <w:rPr>
          <w:rFonts w:ascii="Arial" w:hAnsi="Arial" w:cs="Arial"/>
          <w:color w:val="111111"/>
          <w:spacing w:val="8"/>
        </w:rPr>
        <w:t xml:space="preserve"> </w:t>
      </w:r>
      <w:r w:rsidRPr="002E2F2E">
        <w:rPr>
          <w:rFonts w:ascii="Arial" w:hAnsi="Arial" w:cs="Arial"/>
          <w:color w:val="111111"/>
        </w:rPr>
        <w:t>the</w:t>
      </w:r>
      <w:r w:rsidRPr="002E2F2E">
        <w:rPr>
          <w:rFonts w:ascii="Arial" w:hAnsi="Arial" w:cs="Arial"/>
          <w:color w:val="111111"/>
          <w:spacing w:val="41"/>
        </w:rPr>
        <w:t xml:space="preserve"> </w:t>
      </w:r>
      <w:r w:rsidRPr="002E2F2E">
        <w:rPr>
          <w:rFonts w:ascii="Arial" w:hAnsi="Arial" w:cs="Arial"/>
          <w:i/>
          <w:iCs/>
          <w:color w:val="111111"/>
        </w:rPr>
        <w:t>Standards</w:t>
      </w:r>
      <w:r w:rsidRPr="002E2F2E">
        <w:rPr>
          <w:rFonts w:ascii="Arial" w:hAnsi="Arial" w:cs="Arial"/>
          <w:i/>
          <w:iCs/>
          <w:color w:val="111111"/>
          <w:spacing w:val="30"/>
        </w:rPr>
        <w:t xml:space="preserve"> </w:t>
      </w:r>
      <w:r w:rsidRPr="002E2F2E">
        <w:rPr>
          <w:rFonts w:ascii="Arial" w:hAnsi="Arial" w:cs="Arial"/>
          <w:i/>
          <w:iCs/>
          <w:color w:val="111111"/>
        </w:rPr>
        <w:t>for</w:t>
      </w:r>
      <w:r w:rsidRPr="002E2F2E">
        <w:rPr>
          <w:rFonts w:ascii="Arial" w:hAnsi="Arial" w:cs="Arial"/>
          <w:i/>
          <w:iCs/>
          <w:color w:val="111111"/>
          <w:spacing w:val="23"/>
        </w:rPr>
        <w:t xml:space="preserve"> </w:t>
      </w:r>
      <w:r w:rsidRPr="002E2F2E">
        <w:rPr>
          <w:rFonts w:ascii="Arial" w:hAnsi="Arial" w:cs="Arial"/>
          <w:i/>
          <w:iCs/>
          <w:color w:val="111111"/>
        </w:rPr>
        <w:t>Registered</w:t>
      </w:r>
      <w:r w:rsidRPr="002E2F2E">
        <w:rPr>
          <w:rFonts w:ascii="Arial" w:hAnsi="Arial" w:cs="Arial"/>
          <w:i/>
          <w:iCs/>
          <w:color w:val="111111"/>
          <w:spacing w:val="57"/>
        </w:rPr>
        <w:t xml:space="preserve"> </w:t>
      </w:r>
      <w:r w:rsidRPr="002E2F2E">
        <w:rPr>
          <w:rFonts w:ascii="Arial" w:hAnsi="Arial" w:cs="Arial"/>
          <w:i/>
          <w:iCs/>
          <w:color w:val="111111"/>
        </w:rPr>
        <w:t>Training</w:t>
      </w:r>
      <w:r w:rsidRPr="002E2F2E">
        <w:rPr>
          <w:rFonts w:ascii="Arial" w:hAnsi="Arial" w:cs="Arial"/>
          <w:i/>
          <w:iCs/>
          <w:color w:val="111111"/>
          <w:spacing w:val="25"/>
        </w:rPr>
        <w:t xml:space="preserve"> </w:t>
      </w:r>
      <w:r w:rsidRPr="002E2F2E">
        <w:rPr>
          <w:rFonts w:ascii="Arial" w:hAnsi="Arial" w:cs="Arial"/>
          <w:i/>
          <w:iCs/>
          <w:color w:val="111111"/>
        </w:rPr>
        <w:t>Organisations</w:t>
      </w:r>
      <w:r w:rsidRPr="002E2F2E">
        <w:rPr>
          <w:rFonts w:ascii="Arial" w:hAnsi="Arial" w:cs="Arial"/>
          <w:i/>
          <w:iCs/>
          <w:color w:val="111111"/>
          <w:spacing w:val="23"/>
          <w:w w:val="101"/>
        </w:rPr>
        <w:t xml:space="preserve"> </w:t>
      </w:r>
      <w:r w:rsidRPr="002E2F2E">
        <w:rPr>
          <w:rFonts w:ascii="Arial" w:hAnsi="Arial" w:cs="Arial"/>
          <w:i/>
          <w:iCs/>
          <w:color w:val="111111"/>
        </w:rPr>
        <w:t>(RTOs)</w:t>
      </w:r>
      <w:r w:rsidRPr="002E2F2E">
        <w:rPr>
          <w:rFonts w:ascii="Arial" w:hAnsi="Arial" w:cs="Arial"/>
          <w:i/>
          <w:iCs/>
          <w:color w:val="111111"/>
          <w:spacing w:val="17"/>
        </w:rPr>
        <w:t xml:space="preserve"> </w:t>
      </w:r>
      <w:r w:rsidRPr="002E2F2E">
        <w:rPr>
          <w:rFonts w:ascii="Arial" w:hAnsi="Arial" w:cs="Arial"/>
          <w:i/>
          <w:iCs/>
          <w:color w:val="111111"/>
        </w:rPr>
        <w:t>2015</w:t>
      </w:r>
      <w:r w:rsidRPr="002E2F2E">
        <w:rPr>
          <w:rFonts w:ascii="Arial" w:hAnsi="Arial" w:cs="Arial"/>
          <w:i/>
          <w:iCs/>
          <w:color w:val="111111"/>
          <w:spacing w:val="26"/>
        </w:rPr>
        <w:t xml:space="preserve"> </w:t>
      </w:r>
      <w:r w:rsidRPr="002E2F2E">
        <w:rPr>
          <w:rFonts w:ascii="Arial" w:hAnsi="Arial" w:cs="Arial"/>
          <w:color w:val="111111"/>
        </w:rPr>
        <w:t>in</w:t>
      </w:r>
      <w:r w:rsidRPr="002E2F2E">
        <w:rPr>
          <w:rFonts w:ascii="Arial" w:hAnsi="Arial" w:cs="Arial"/>
          <w:color w:val="111111"/>
          <w:spacing w:val="10"/>
        </w:rPr>
        <w:t xml:space="preserve"> </w:t>
      </w:r>
      <w:r w:rsidRPr="002E2F2E">
        <w:rPr>
          <w:rFonts w:ascii="Arial" w:hAnsi="Arial" w:cs="Arial"/>
          <w:color w:val="111111"/>
        </w:rPr>
        <w:t>accordance</w:t>
      </w:r>
      <w:r w:rsidRPr="002E2F2E">
        <w:rPr>
          <w:rFonts w:ascii="Arial" w:hAnsi="Arial" w:cs="Arial"/>
          <w:color w:val="111111"/>
          <w:spacing w:val="33"/>
        </w:rPr>
        <w:t xml:space="preserve"> </w:t>
      </w:r>
      <w:r w:rsidRPr="002E2F2E">
        <w:rPr>
          <w:rFonts w:ascii="Arial" w:hAnsi="Arial" w:cs="Arial"/>
          <w:color w:val="111111"/>
          <w:spacing w:val="-1"/>
        </w:rPr>
        <w:t>with</w:t>
      </w:r>
      <w:r w:rsidRPr="002E2F2E">
        <w:rPr>
          <w:rFonts w:ascii="Arial" w:hAnsi="Arial" w:cs="Arial"/>
          <w:color w:val="111111"/>
          <w:spacing w:val="11"/>
        </w:rPr>
        <w:t xml:space="preserve"> </w:t>
      </w:r>
      <w:r w:rsidRPr="002E2F2E">
        <w:rPr>
          <w:rFonts w:ascii="Arial" w:hAnsi="Arial" w:cs="Arial"/>
          <w:color w:val="111111"/>
        </w:rPr>
        <w:t>the</w:t>
      </w:r>
      <w:r w:rsidRPr="002E2F2E">
        <w:rPr>
          <w:rFonts w:ascii="Arial" w:hAnsi="Arial" w:cs="Arial"/>
          <w:color w:val="111111"/>
          <w:spacing w:val="12"/>
        </w:rPr>
        <w:t xml:space="preserve"> </w:t>
      </w:r>
      <w:r w:rsidRPr="002E2F2E">
        <w:rPr>
          <w:rFonts w:ascii="Arial" w:hAnsi="Arial" w:cs="Arial"/>
          <w:color w:val="111111"/>
        </w:rPr>
        <w:t>Act</w:t>
      </w:r>
      <w:r w:rsidRPr="002E2F2E">
        <w:rPr>
          <w:rFonts w:ascii="Arial" w:hAnsi="Arial" w:cs="Arial"/>
          <w:color w:val="111111"/>
          <w:spacing w:val="33"/>
        </w:rPr>
        <w:t xml:space="preserve"> </w:t>
      </w:r>
      <w:r w:rsidRPr="002E2F2E">
        <w:rPr>
          <w:rFonts w:ascii="Arial" w:hAnsi="Arial" w:cs="Arial"/>
          <w:color w:val="111111"/>
        </w:rPr>
        <w:t>and</w:t>
      </w:r>
      <w:r w:rsidRPr="002E2F2E">
        <w:rPr>
          <w:rFonts w:ascii="Arial" w:hAnsi="Arial" w:cs="Arial"/>
          <w:color w:val="111111"/>
          <w:spacing w:val="10"/>
        </w:rPr>
        <w:t xml:space="preserve"> </w:t>
      </w:r>
      <w:r w:rsidRPr="002E2F2E">
        <w:rPr>
          <w:rFonts w:ascii="Arial" w:hAnsi="Arial" w:cs="Arial"/>
          <w:color w:val="111111"/>
        </w:rPr>
        <w:t>the</w:t>
      </w:r>
      <w:r w:rsidRPr="002E2F2E">
        <w:rPr>
          <w:rFonts w:ascii="Arial" w:hAnsi="Arial" w:cs="Arial"/>
          <w:color w:val="111111"/>
          <w:spacing w:val="49"/>
        </w:rPr>
        <w:t xml:space="preserve"> </w:t>
      </w:r>
      <w:r w:rsidRPr="002E2F2E">
        <w:rPr>
          <w:rFonts w:ascii="Arial" w:hAnsi="Arial" w:cs="Arial"/>
          <w:i/>
          <w:iCs/>
          <w:color w:val="111111"/>
        </w:rPr>
        <w:t>Vocational</w:t>
      </w:r>
      <w:r w:rsidRPr="002E2F2E">
        <w:rPr>
          <w:rFonts w:ascii="Arial" w:hAnsi="Arial" w:cs="Arial"/>
          <w:i/>
          <w:iCs/>
          <w:color w:val="111111"/>
          <w:spacing w:val="9"/>
        </w:rPr>
        <w:t xml:space="preserve"> </w:t>
      </w:r>
      <w:r w:rsidRPr="002E2F2E">
        <w:rPr>
          <w:rFonts w:ascii="Arial" w:hAnsi="Arial" w:cs="Arial"/>
          <w:i/>
          <w:iCs/>
          <w:color w:val="111111"/>
        </w:rPr>
        <w:t>Education</w:t>
      </w:r>
      <w:r w:rsidRPr="002E2F2E">
        <w:rPr>
          <w:rFonts w:ascii="Arial" w:hAnsi="Arial" w:cs="Arial"/>
          <w:i/>
          <w:iCs/>
          <w:color w:val="111111"/>
          <w:spacing w:val="40"/>
        </w:rPr>
        <w:t xml:space="preserve"> </w:t>
      </w:r>
      <w:r w:rsidRPr="002E2F2E">
        <w:rPr>
          <w:rFonts w:ascii="Arial" w:hAnsi="Arial" w:cs="Arial"/>
          <w:i/>
          <w:iCs/>
          <w:color w:val="111111"/>
        </w:rPr>
        <w:t>and</w:t>
      </w:r>
      <w:r w:rsidRPr="002E2F2E">
        <w:rPr>
          <w:rFonts w:ascii="Arial" w:hAnsi="Arial" w:cs="Arial"/>
          <w:i/>
          <w:iCs/>
          <w:color w:val="111111"/>
          <w:spacing w:val="38"/>
        </w:rPr>
        <w:t xml:space="preserve"> </w:t>
      </w:r>
      <w:r w:rsidRPr="002E2F2E">
        <w:rPr>
          <w:rFonts w:ascii="Arial" w:hAnsi="Arial" w:cs="Arial"/>
          <w:i/>
          <w:iCs/>
          <w:color w:val="111111"/>
        </w:rPr>
        <w:t>Training</w:t>
      </w:r>
      <w:r w:rsidRPr="002E2F2E">
        <w:rPr>
          <w:rFonts w:ascii="Arial" w:hAnsi="Arial" w:cs="Arial"/>
          <w:i/>
          <w:iCs/>
          <w:color w:val="111111"/>
          <w:spacing w:val="20"/>
        </w:rPr>
        <w:t xml:space="preserve"> </w:t>
      </w:r>
      <w:r w:rsidRPr="002E2F2E">
        <w:rPr>
          <w:rFonts w:ascii="Arial" w:hAnsi="Arial" w:cs="Arial"/>
          <w:i/>
          <w:iCs/>
          <w:color w:val="111111"/>
        </w:rPr>
        <w:t>(General)</w:t>
      </w:r>
      <w:r w:rsidRPr="002E2F2E">
        <w:rPr>
          <w:rFonts w:ascii="Arial" w:hAnsi="Arial" w:cs="Arial"/>
          <w:i/>
          <w:iCs/>
          <w:color w:val="111111"/>
          <w:spacing w:val="18"/>
        </w:rPr>
        <w:t xml:space="preserve"> </w:t>
      </w:r>
      <w:r w:rsidRPr="002E2F2E">
        <w:rPr>
          <w:rFonts w:ascii="Arial" w:hAnsi="Arial" w:cs="Arial"/>
          <w:i/>
          <w:iCs/>
          <w:color w:val="111111"/>
        </w:rPr>
        <w:t>Regulations</w:t>
      </w:r>
      <w:r w:rsidRPr="002E2F2E">
        <w:rPr>
          <w:rFonts w:ascii="Arial" w:hAnsi="Arial" w:cs="Arial"/>
          <w:i/>
          <w:iCs/>
          <w:color w:val="111111"/>
          <w:spacing w:val="39"/>
        </w:rPr>
        <w:t xml:space="preserve"> </w:t>
      </w:r>
      <w:r w:rsidRPr="002E2F2E">
        <w:rPr>
          <w:rFonts w:ascii="Arial" w:hAnsi="Arial" w:cs="Arial"/>
          <w:i/>
          <w:iCs/>
          <w:color w:val="111111"/>
        </w:rPr>
        <w:t>2009.</w:t>
      </w:r>
    </w:p>
    <w:p w:rsidR="00DC50C6" w:rsidRPr="002E2F2E" w:rsidRDefault="00DC50C6" w:rsidP="00DC50C6">
      <w:pPr>
        <w:jc w:val="both"/>
        <w:rPr>
          <w:rFonts w:ascii="Arial" w:hAnsi="Arial" w:cs="Arial"/>
        </w:rPr>
      </w:pPr>
      <w:r w:rsidRPr="002E2F2E">
        <w:rPr>
          <w:rFonts w:ascii="Arial" w:hAnsi="Arial" w:cs="Arial"/>
        </w:rPr>
        <w:t>In particular, clause 7.1 stipulates that, to be compliant with Standard 7, a training organisation must "ensure that its executive office</w:t>
      </w:r>
      <w:r>
        <w:rPr>
          <w:rFonts w:ascii="Arial" w:hAnsi="Arial" w:cs="Arial"/>
        </w:rPr>
        <w:t>rs or high managerial agent ...</w:t>
      </w:r>
      <w:r w:rsidRPr="002E2F2E">
        <w:rPr>
          <w:rFonts w:ascii="Arial" w:hAnsi="Arial" w:cs="Arial"/>
        </w:rPr>
        <w:t>meet each of the relevant criteria specified in the Fit and Proper Person Requirements in Schedule 3."</w:t>
      </w:r>
    </w:p>
    <w:p w:rsidR="001E55DE" w:rsidRDefault="00DC50C6" w:rsidP="00DC50C6">
      <w:pPr>
        <w:rPr>
          <w:rFonts w:ascii="Arial" w:hAnsi="Arial" w:cs="Arial"/>
        </w:rPr>
      </w:pPr>
      <w:r w:rsidRPr="002E2F2E">
        <w:rPr>
          <w:rFonts w:ascii="Arial" w:hAnsi="Arial" w:cs="Arial"/>
        </w:rPr>
        <w:t>A training organisation found to be non-compliant may be registered subject to conditions and risks losing registration altogether</w:t>
      </w:r>
    </w:p>
    <w:p w:rsidR="00A71A55" w:rsidRDefault="00A71A55" w:rsidP="00A71A55">
      <w:pPr>
        <w:sectPr w:rsidR="00A71A55" w:rsidSect="00DC50C6">
          <w:headerReference w:type="default" r:id="rId8"/>
          <w:pgSz w:w="11906" w:h="16838"/>
          <w:pgMar w:top="720" w:right="720" w:bottom="720" w:left="720" w:header="708" w:footer="708" w:gutter="0"/>
          <w:cols w:space="708"/>
          <w:docGrid w:linePitch="360"/>
        </w:sectPr>
      </w:pPr>
    </w:p>
    <w:p w:rsidR="00A71A55" w:rsidRPr="00A71A55" w:rsidRDefault="00A71A55" w:rsidP="00A71A55">
      <w:pPr>
        <w:widowControl w:val="0"/>
        <w:spacing w:after="0" w:line="240" w:lineRule="auto"/>
        <w:ind w:left="100"/>
        <w:jc w:val="both"/>
        <w:outlineLvl w:val="2"/>
        <w:rPr>
          <w:rFonts w:ascii="Arial" w:eastAsia="Arial" w:hAnsi="Arial" w:cs="Times New Roman"/>
          <w:lang w:val="en-US"/>
        </w:rPr>
      </w:pPr>
      <w:r w:rsidRPr="00A71A55">
        <w:rPr>
          <w:rFonts w:ascii="Arial" w:eastAsia="Arial" w:hAnsi="Arial" w:cs="Times New Roman"/>
          <w:b/>
          <w:bCs/>
          <w:lang w:val="en-US"/>
        </w:rPr>
        <w:lastRenderedPageBreak/>
        <w:t xml:space="preserve">FIT </w:t>
      </w:r>
      <w:r w:rsidRPr="00A71A55">
        <w:rPr>
          <w:rFonts w:ascii="Arial" w:eastAsia="Arial" w:hAnsi="Arial" w:cs="Times New Roman"/>
          <w:b/>
          <w:bCs/>
          <w:spacing w:val="-2"/>
          <w:lang w:val="en-US"/>
        </w:rPr>
        <w:t>AND</w:t>
      </w:r>
      <w:r w:rsidRPr="00A71A55">
        <w:rPr>
          <w:rFonts w:ascii="Arial" w:eastAsia="Arial" w:hAnsi="Arial" w:cs="Times New Roman"/>
          <w:b/>
          <w:bCs/>
          <w:lang w:val="en-US"/>
        </w:rPr>
        <w:t xml:space="preserve"> </w:t>
      </w:r>
      <w:r w:rsidRPr="00A71A55">
        <w:rPr>
          <w:rFonts w:ascii="Arial" w:eastAsia="Arial" w:hAnsi="Arial" w:cs="Times New Roman"/>
          <w:b/>
          <w:bCs/>
          <w:spacing w:val="-1"/>
          <w:lang w:val="en-US"/>
        </w:rPr>
        <w:t>PROPER</w:t>
      </w:r>
      <w:r w:rsidRPr="00A71A55">
        <w:rPr>
          <w:rFonts w:ascii="Arial" w:eastAsia="Arial" w:hAnsi="Arial" w:cs="Times New Roman"/>
          <w:b/>
          <w:bCs/>
          <w:lang w:val="en-US"/>
        </w:rPr>
        <w:t xml:space="preserve"> </w:t>
      </w:r>
      <w:r w:rsidRPr="00A71A55">
        <w:rPr>
          <w:rFonts w:ascii="Arial" w:eastAsia="Arial" w:hAnsi="Arial" w:cs="Times New Roman"/>
          <w:b/>
          <w:bCs/>
          <w:spacing w:val="-1"/>
          <w:lang w:val="en-US"/>
        </w:rPr>
        <w:t>PERSON</w:t>
      </w:r>
      <w:r w:rsidRPr="00A71A55">
        <w:rPr>
          <w:rFonts w:ascii="Arial" w:eastAsia="Arial" w:hAnsi="Arial" w:cs="Times New Roman"/>
          <w:b/>
          <w:bCs/>
          <w:spacing w:val="2"/>
          <w:lang w:val="en-US"/>
        </w:rPr>
        <w:t xml:space="preserve"> </w:t>
      </w:r>
      <w:r w:rsidRPr="00A71A55">
        <w:rPr>
          <w:rFonts w:ascii="Arial" w:eastAsia="Arial" w:hAnsi="Arial" w:cs="Times New Roman"/>
          <w:b/>
          <w:bCs/>
          <w:spacing w:val="-1"/>
          <w:lang w:val="en-US"/>
        </w:rPr>
        <w:t>CRITERIA</w:t>
      </w:r>
      <w:r w:rsidRPr="00A71A55">
        <w:rPr>
          <w:rFonts w:ascii="Arial" w:eastAsia="Arial" w:hAnsi="Arial" w:cs="Times New Roman"/>
          <w:b/>
          <w:bCs/>
          <w:spacing w:val="-8"/>
          <w:lang w:val="en-US"/>
        </w:rPr>
        <w:t xml:space="preserve"> </w:t>
      </w:r>
      <w:r w:rsidRPr="00A71A55">
        <w:rPr>
          <w:rFonts w:ascii="Arial" w:eastAsia="Arial" w:hAnsi="Arial" w:cs="Times New Roman"/>
          <w:b/>
          <w:bCs/>
          <w:lang w:val="en-US"/>
        </w:rPr>
        <w:t xml:space="preserve">FOR </w:t>
      </w:r>
      <w:r w:rsidRPr="00A71A55">
        <w:rPr>
          <w:rFonts w:ascii="Arial" w:eastAsia="Arial" w:hAnsi="Arial" w:cs="Times New Roman"/>
          <w:b/>
          <w:bCs/>
          <w:spacing w:val="-1"/>
          <w:lang w:val="en-US"/>
        </w:rPr>
        <w:t>SUITABILITY</w:t>
      </w:r>
    </w:p>
    <w:p w:rsidR="00A71A55" w:rsidRDefault="00A71A55" w:rsidP="00A71A55">
      <w:pPr>
        <w:spacing w:after="0"/>
        <w:jc w:val="both"/>
        <w:rPr>
          <w:rFonts w:ascii="Arial" w:hAnsi="Arial" w:cs="Arial"/>
        </w:rPr>
      </w:pPr>
    </w:p>
    <w:p w:rsidR="00DC50C6" w:rsidRPr="002E2F2E" w:rsidRDefault="00DC50C6" w:rsidP="00A71A55">
      <w:pPr>
        <w:jc w:val="both"/>
        <w:rPr>
          <w:rFonts w:ascii="Arial" w:hAnsi="Arial" w:cs="Arial"/>
        </w:rPr>
      </w:pPr>
      <w:r w:rsidRPr="002E2F2E">
        <w:rPr>
          <w:rFonts w:ascii="Arial" w:hAnsi="Arial" w:cs="Arial"/>
        </w:rPr>
        <w:t>Indicate whether you have ever: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1076"/>
      </w:tblGrid>
      <w:tr w:rsidR="00DC50C6" w:rsidTr="00EC6ED3">
        <w:trPr>
          <w:trHeight w:val="911"/>
        </w:trPr>
        <w:tc>
          <w:tcPr>
            <w:tcW w:w="9606" w:type="dxa"/>
          </w:tcPr>
          <w:p w:rsidR="00DC50C6" w:rsidRDefault="00DC50C6" w:rsidP="00DC50C6">
            <w:pPr>
              <w:pStyle w:val="ListParagraph"/>
              <w:numPr>
                <w:ilvl w:val="0"/>
                <w:numId w:val="1"/>
              </w:numPr>
              <w:jc w:val="both"/>
            </w:pPr>
            <w:r w:rsidRPr="002E2F2E">
              <w:rPr>
                <w:rFonts w:ascii="Arial" w:hAnsi="Arial" w:cs="Arial"/>
              </w:rPr>
              <w:t>been convicted of an offence against a law of the Commonwealth or a State or Territory of Australia, or of another country, and if so, the seriousness of the offence and the time elapsed since the conviction was recorded;</w:t>
            </w:r>
          </w:p>
        </w:tc>
        <w:tc>
          <w:tcPr>
            <w:tcW w:w="1076" w:type="dxa"/>
          </w:tcPr>
          <w:p w:rsidR="00DC50C6" w:rsidRPr="000E1D60" w:rsidRDefault="00DC50C6" w:rsidP="00DC50C6">
            <w:pPr>
              <w:pStyle w:val="NoSpacing"/>
              <w:rPr>
                <w:rFonts w:ascii="Arial" w:hAnsi="Arial" w:cs="Arial"/>
                <w:b/>
              </w:rPr>
            </w:pPr>
            <w:r w:rsidRPr="000E1D60">
              <w:rPr>
                <w:rFonts w:ascii="Arial" w:hAnsi="Arial" w:cs="Arial"/>
                <w:b/>
              </w:rPr>
              <w:t>Yes No</w:t>
            </w:r>
          </w:p>
          <w:p w:rsidR="00DC50C6" w:rsidRPr="000E1D60" w:rsidRDefault="00DC50C6" w:rsidP="00DC50C6">
            <w:r w:rsidRPr="000E1D60">
              <w:rPr>
                <w:b/>
              </w:rPr>
              <w:t xml:space="preserve"> </w:t>
            </w:r>
            <w:r w:rsidRPr="000E1D60">
              <w:rPr>
                <w:rFonts w:ascii="Arial" w:hAnsi="Arial" w:cs="Arial"/>
                <w:b/>
              </w:rPr>
              <w:sym w:font="Wingdings" w:char="F06F"/>
            </w:r>
            <w:r w:rsidRPr="000E1D60">
              <w:rPr>
                <w:rFonts w:ascii="Arial" w:hAnsi="Arial" w:cs="Arial"/>
                <w:b/>
              </w:rPr>
              <w:t xml:space="preserve">  </w:t>
            </w:r>
            <w:r w:rsidRPr="000E1D60">
              <w:rPr>
                <w:rFonts w:ascii="Arial" w:hAnsi="Arial" w:cs="Arial"/>
                <w:b/>
              </w:rPr>
              <w:sym w:font="Wingdings" w:char="F06F"/>
            </w:r>
          </w:p>
        </w:tc>
      </w:tr>
      <w:tr w:rsidR="00DC50C6" w:rsidTr="00EC6ED3">
        <w:trPr>
          <w:trHeight w:val="825"/>
        </w:trPr>
        <w:tc>
          <w:tcPr>
            <w:tcW w:w="9606" w:type="dxa"/>
          </w:tcPr>
          <w:p w:rsidR="00DC50C6" w:rsidRDefault="00DC50C6" w:rsidP="00DC50C6">
            <w:pPr>
              <w:pStyle w:val="ListParagraph"/>
              <w:numPr>
                <w:ilvl w:val="0"/>
                <w:numId w:val="1"/>
              </w:numPr>
              <w:jc w:val="both"/>
            </w:pPr>
            <w:r w:rsidRPr="002E2F2E">
              <w:rPr>
                <w:rFonts w:ascii="Arial" w:hAnsi="Arial" w:cs="Arial"/>
              </w:rPr>
              <w:t>been an executive officer or high managerial agent of an RTO at a time that the RTO had its registration on the National Register cancelled or suspended by its VET Regulator for having breached a condition imposed on its Registration;</w:t>
            </w:r>
          </w:p>
        </w:tc>
        <w:tc>
          <w:tcPr>
            <w:tcW w:w="1076" w:type="dxa"/>
          </w:tcPr>
          <w:p w:rsidR="00DC50C6" w:rsidRPr="000E1D60" w:rsidRDefault="00DC50C6" w:rsidP="00DC50C6">
            <w:pPr>
              <w:pStyle w:val="NoSpacing"/>
              <w:rPr>
                <w:rFonts w:ascii="Arial" w:hAnsi="Arial" w:cs="Arial"/>
                <w:b/>
              </w:rPr>
            </w:pPr>
            <w:r w:rsidRPr="000E1D60">
              <w:rPr>
                <w:rFonts w:ascii="Arial" w:hAnsi="Arial" w:cs="Arial"/>
                <w:b/>
              </w:rPr>
              <w:t>Yes No</w:t>
            </w:r>
          </w:p>
          <w:p w:rsidR="00DC50C6" w:rsidRPr="000E1D60" w:rsidRDefault="00DC50C6" w:rsidP="00DC50C6">
            <w:r w:rsidRPr="000E1D60">
              <w:rPr>
                <w:b/>
              </w:rPr>
              <w:t xml:space="preserve"> </w:t>
            </w:r>
            <w:r w:rsidRPr="000E1D60">
              <w:rPr>
                <w:rFonts w:ascii="Arial" w:hAnsi="Arial" w:cs="Arial"/>
                <w:b/>
              </w:rPr>
              <w:sym w:font="Wingdings" w:char="F06F"/>
            </w:r>
            <w:r w:rsidRPr="000E1D60">
              <w:rPr>
                <w:rFonts w:ascii="Arial" w:hAnsi="Arial" w:cs="Arial"/>
                <w:b/>
              </w:rPr>
              <w:t xml:space="preserve">  </w:t>
            </w:r>
            <w:r w:rsidRPr="000E1D60">
              <w:rPr>
                <w:rFonts w:ascii="Arial" w:hAnsi="Arial" w:cs="Arial"/>
                <w:b/>
              </w:rPr>
              <w:sym w:font="Wingdings" w:char="F06F"/>
            </w:r>
          </w:p>
        </w:tc>
      </w:tr>
      <w:tr w:rsidR="00DC50C6" w:rsidTr="00EC6ED3">
        <w:tc>
          <w:tcPr>
            <w:tcW w:w="9606" w:type="dxa"/>
          </w:tcPr>
          <w:p w:rsidR="00DC50C6" w:rsidRDefault="00DC50C6" w:rsidP="00DC50C6">
            <w:pPr>
              <w:pStyle w:val="ListParagraph"/>
              <w:numPr>
                <w:ilvl w:val="0"/>
                <w:numId w:val="1"/>
              </w:numPr>
              <w:jc w:val="both"/>
            </w:pPr>
            <w:r w:rsidRPr="002E2F2E">
              <w:rPr>
                <w:rFonts w:ascii="Arial" w:hAnsi="Arial" w:cs="Arial"/>
              </w:rPr>
              <w:t>been an executive officer or high managerial agent of an RTO at a time that the RTO was determined to have breached a condition of its registration under the Education Services for Overseas Students Act 2000 or the Tertiary Education Quality and Standards Agency Act 2011;</w:t>
            </w:r>
          </w:p>
        </w:tc>
        <w:tc>
          <w:tcPr>
            <w:tcW w:w="1076" w:type="dxa"/>
          </w:tcPr>
          <w:p w:rsidR="00DC50C6" w:rsidRPr="000E1D60" w:rsidRDefault="00DC50C6" w:rsidP="00DC50C6">
            <w:pPr>
              <w:pStyle w:val="NoSpacing"/>
              <w:rPr>
                <w:rFonts w:ascii="Arial" w:hAnsi="Arial" w:cs="Arial"/>
                <w:b/>
              </w:rPr>
            </w:pPr>
            <w:r w:rsidRPr="000E1D60">
              <w:rPr>
                <w:rFonts w:ascii="Arial" w:hAnsi="Arial" w:cs="Arial"/>
                <w:b/>
              </w:rPr>
              <w:t>Yes No</w:t>
            </w:r>
          </w:p>
          <w:p w:rsidR="00DC50C6" w:rsidRPr="000E1D60" w:rsidRDefault="00DC50C6" w:rsidP="00DC50C6">
            <w:r w:rsidRPr="000E1D60">
              <w:rPr>
                <w:b/>
              </w:rPr>
              <w:t xml:space="preserve"> </w:t>
            </w:r>
            <w:r w:rsidRPr="000E1D60">
              <w:rPr>
                <w:rFonts w:ascii="Arial" w:hAnsi="Arial" w:cs="Arial"/>
                <w:b/>
              </w:rPr>
              <w:sym w:font="Wingdings" w:char="F06F"/>
            </w:r>
            <w:r w:rsidRPr="000E1D60">
              <w:rPr>
                <w:rFonts w:ascii="Arial" w:hAnsi="Arial" w:cs="Arial"/>
                <w:b/>
              </w:rPr>
              <w:t xml:space="preserve">  </w:t>
            </w:r>
            <w:r w:rsidRPr="000E1D60">
              <w:rPr>
                <w:rFonts w:ascii="Arial" w:hAnsi="Arial" w:cs="Arial"/>
                <w:b/>
              </w:rPr>
              <w:sym w:font="Wingdings" w:char="F06F"/>
            </w:r>
          </w:p>
        </w:tc>
      </w:tr>
      <w:tr w:rsidR="00DC50C6" w:rsidTr="00EC6ED3">
        <w:trPr>
          <w:trHeight w:val="951"/>
        </w:trPr>
        <w:tc>
          <w:tcPr>
            <w:tcW w:w="9606" w:type="dxa"/>
          </w:tcPr>
          <w:p w:rsidR="00DC50C6" w:rsidRDefault="00DC50C6" w:rsidP="00DC50C6">
            <w:pPr>
              <w:pStyle w:val="ListParagraph"/>
              <w:numPr>
                <w:ilvl w:val="0"/>
                <w:numId w:val="1"/>
              </w:numPr>
              <w:jc w:val="both"/>
            </w:pPr>
            <w:r w:rsidRPr="002E2F2E">
              <w:rPr>
                <w:rFonts w:ascii="Arial" w:hAnsi="Arial" w:cs="Arial"/>
              </w:rPr>
              <w:t>become bankrupt, applied to take the benefit of a law for the benefit of bankrupt or insolvent debtors, compounded with his or her creditors or assigned his or her remuneration for the benefit of creditors, and if so, the time elapsed since this event occurred;</w:t>
            </w:r>
          </w:p>
        </w:tc>
        <w:tc>
          <w:tcPr>
            <w:tcW w:w="1076" w:type="dxa"/>
          </w:tcPr>
          <w:p w:rsidR="00DC50C6" w:rsidRPr="000E1D60" w:rsidRDefault="00DC50C6" w:rsidP="00DC50C6">
            <w:pPr>
              <w:pStyle w:val="NoSpacing"/>
              <w:rPr>
                <w:rFonts w:ascii="Arial" w:hAnsi="Arial" w:cs="Arial"/>
                <w:b/>
              </w:rPr>
            </w:pPr>
            <w:r w:rsidRPr="000E1D60">
              <w:rPr>
                <w:rFonts w:ascii="Arial" w:hAnsi="Arial" w:cs="Arial"/>
                <w:b/>
              </w:rPr>
              <w:t>Yes No</w:t>
            </w:r>
          </w:p>
          <w:p w:rsidR="00DC50C6" w:rsidRPr="000E1D60" w:rsidRDefault="00DC50C6" w:rsidP="00DC50C6">
            <w:r w:rsidRPr="000E1D60">
              <w:rPr>
                <w:b/>
              </w:rPr>
              <w:t xml:space="preserve"> </w:t>
            </w:r>
            <w:r w:rsidRPr="000E1D60">
              <w:rPr>
                <w:rFonts w:ascii="Arial" w:hAnsi="Arial" w:cs="Arial"/>
                <w:b/>
              </w:rPr>
              <w:sym w:font="Wingdings" w:char="F06F"/>
            </w:r>
            <w:r w:rsidRPr="000E1D60">
              <w:rPr>
                <w:rFonts w:ascii="Arial" w:hAnsi="Arial" w:cs="Arial"/>
                <w:b/>
              </w:rPr>
              <w:t xml:space="preserve">  </w:t>
            </w:r>
            <w:r w:rsidRPr="000E1D60">
              <w:rPr>
                <w:rFonts w:ascii="Arial" w:hAnsi="Arial" w:cs="Arial"/>
                <w:b/>
              </w:rPr>
              <w:sym w:font="Wingdings" w:char="F06F"/>
            </w:r>
          </w:p>
        </w:tc>
      </w:tr>
      <w:tr w:rsidR="00DC50C6" w:rsidTr="00EC6ED3">
        <w:trPr>
          <w:trHeight w:val="696"/>
        </w:trPr>
        <w:tc>
          <w:tcPr>
            <w:tcW w:w="9606" w:type="dxa"/>
          </w:tcPr>
          <w:p w:rsidR="00DC50C6" w:rsidRDefault="00DC50C6" w:rsidP="00DC50C6">
            <w:pPr>
              <w:pStyle w:val="ListParagraph"/>
              <w:numPr>
                <w:ilvl w:val="0"/>
                <w:numId w:val="1"/>
              </w:numPr>
              <w:jc w:val="both"/>
            </w:pPr>
            <w:r w:rsidRPr="002E2F2E">
              <w:rPr>
                <w:rFonts w:ascii="Arial" w:hAnsi="Arial" w:cs="Arial"/>
              </w:rPr>
              <w:t>been disqualified from managing corporations under Part 20.6 of the Corporations Act 2001, and if so, whether the disqualification remains in place;</w:t>
            </w:r>
          </w:p>
        </w:tc>
        <w:tc>
          <w:tcPr>
            <w:tcW w:w="1076" w:type="dxa"/>
          </w:tcPr>
          <w:p w:rsidR="00DC50C6" w:rsidRPr="000E1D60" w:rsidRDefault="00DC50C6" w:rsidP="00DC50C6">
            <w:pPr>
              <w:pStyle w:val="NoSpacing"/>
              <w:rPr>
                <w:rFonts w:ascii="Arial" w:hAnsi="Arial" w:cs="Arial"/>
                <w:b/>
              </w:rPr>
            </w:pPr>
            <w:r w:rsidRPr="000E1D60">
              <w:rPr>
                <w:rFonts w:ascii="Arial" w:hAnsi="Arial" w:cs="Arial"/>
                <w:b/>
              </w:rPr>
              <w:t>Yes No</w:t>
            </w:r>
          </w:p>
          <w:p w:rsidR="00DC50C6" w:rsidRPr="000E1D60" w:rsidRDefault="00DC50C6" w:rsidP="00DC50C6">
            <w:r w:rsidRPr="000E1D60">
              <w:rPr>
                <w:b/>
              </w:rPr>
              <w:t xml:space="preserve"> </w:t>
            </w:r>
            <w:r w:rsidRPr="000E1D60">
              <w:rPr>
                <w:rFonts w:ascii="Arial" w:hAnsi="Arial" w:cs="Arial"/>
                <w:b/>
              </w:rPr>
              <w:sym w:font="Wingdings" w:char="F06F"/>
            </w:r>
            <w:r w:rsidRPr="000E1D60">
              <w:rPr>
                <w:rFonts w:ascii="Arial" w:hAnsi="Arial" w:cs="Arial"/>
                <w:b/>
              </w:rPr>
              <w:t xml:space="preserve">  </w:t>
            </w:r>
            <w:r w:rsidRPr="000E1D60">
              <w:rPr>
                <w:rFonts w:ascii="Arial" w:hAnsi="Arial" w:cs="Arial"/>
                <w:b/>
              </w:rPr>
              <w:sym w:font="Wingdings" w:char="F06F"/>
            </w:r>
          </w:p>
        </w:tc>
      </w:tr>
      <w:tr w:rsidR="00DC50C6" w:rsidTr="00EC6ED3">
        <w:trPr>
          <w:trHeight w:val="859"/>
        </w:trPr>
        <w:tc>
          <w:tcPr>
            <w:tcW w:w="9606" w:type="dxa"/>
          </w:tcPr>
          <w:p w:rsidR="00DC50C6" w:rsidRDefault="00DC50C6" w:rsidP="00DC50C6">
            <w:pPr>
              <w:pStyle w:val="ListParagraph"/>
              <w:numPr>
                <w:ilvl w:val="0"/>
                <w:numId w:val="1"/>
              </w:numPr>
              <w:jc w:val="both"/>
            </w:pPr>
            <w:r w:rsidRPr="002E2F2E">
              <w:rPr>
                <w:rFonts w:ascii="Arial" w:hAnsi="Arial" w:cs="Arial"/>
              </w:rPr>
              <w:t>been  involved in the business of delivering courses or other services on behalf of a person that was the subject of regulatory action described in points b) or c) above, and if so, the relevance of the person's involvement;</w:t>
            </w:r>
          </w:p>
        </w:tc>
        <w:tc>
          <w:tcPr>
            <w:tcW w:w="1076" w:type="dxa"/>
          </w:tcPr>
          <w:p w:rsidR="00DC50C6" w:rsidRPr="000E1D60" w:rsidRDefault="00DC50C6" w:rsidP="00DC50C6">
            <w:pPr>
              <w:pStyle w:val="NoSpacing"/>
              <w:rPr>
                <w:rFonts w:ascii="Arial" w:hAnsi="Arial" w:cs="Arial"/>
                <w:b/>
              </w:rPr>
            </w:pPr>
            <w:r w:rsidRPr="000E1D60">
              <w:rPr>
                <w:rFonts w:ascii="Arial" w:hAnsi="Arial" w:cs="Arial"/>
                <w:b/>
              </w:rPr>
              <w:t>Yes No</w:t>
            </w:r>
          </w:p>
          <w:p w:rsidR="00DC50C6" w:rsidRPr="000E1D60" w:rsidRDefault="00DC50C6" w:rsidP="00DC50C6">
            <w:r w:rsidRPr="000E1D60">
              <w:rPr>
                <w:b/>
              </w:rPr>
              <w:t xml:space="preserve"> </w:t>
            </w:r>
            <w:r w:rsidRPr="000E1D60">
              <w:rPr>
                <w:rFonts w:ascii="Arial" w:hAnsi="Arial" w:cs="Arial"/>
                <w:b/>
              </w:rPr>
              <w:sym w:font="Wingdings" w:char="F06F"/>
            </w:r>
            <w:r w:rsidRPr="000E1D60">
              <w:rPr>
                <w:rFonts w:ascii="Arial" w:hAnsi="Arial" w:cs="Arial"/>
                <w:b/>
              </w:rPr>
              <w:t xml:space="preserve">  </w:t>
            </w:r>
            <w:r w:rsidRPr="000E1D60">
              <w:rPr>
                <w:rFonts w:ascii="Arial" w:hAnsi="Arial" w:cs="Arial"/>
                <w:b/>
              </w:rPr>
              <w:sym w:font="Wingdings" w:char="F06F"/>
            </w:r>
          </w:p>
        </w:tc>
      </w:tr>
      <w:tr w:rsidR="00DC50C6" w:rsidTr="00EC6ED3">
        <w:trPr>
          <w:trHeight w:val="1112"/>
        </w:trPr>
        <w:tc>
          <w:tcPr>
            <w:tcW w:w="9606" w:type="dxa"/>
          </w:tcPr>
          <w:p w:rsidR="00DC50C6" w:rsidRDefault="00DC50C6" w:rsidP="00DC50C6">
            <w:pPr>
              <w:pStyle w:val="ListParagraph"/>
              <w:numPr>
                <w:ilvl w:val="0"/>
                <w:numId w:val="1"/>
              </w:numPr>
              <w:jc w:val="both"/>
            </w:pPr>
            <w:r w:rsidRPr="002E2F2E">
              <w:rPr>
                <w:rFonts w:ascii="Arial" w:hAnsi="Arial" w:cs="Arial"/>
              </w:rPr>
              <w:t>provided a VET Regulator with false or misleading information or made a false or misleading statement to a VET Regulator, and if so, whether it is reasonable to assume that the person knew that the statement made or information provided to the VET Regulator was false or misleading;</w:t>
            </w:r>
          </w:p>
        </w:tc>
        <w:tc>
          <w:tcPr>
            <w:tcW w:w="1076" w:type="dxa"/>
          </w:tcPr>
          <w:p w:rsidR="00DC50C6" w:rsidRPr="000E1D60" w:rsidRDefault="00DC50C6" w:rsidP="00DC50C6">
            <w:pPr>
              <w:pStyle w:val="NoSpacing"/>
              <w:rPr>
                <w:rFonts w:ascii="Arial" w:hAnsi="Arial" w:cs="Arial"/>
                <w:b/>
              </w:rPr>
            </w:pPr>
            <w:r w:rsidRPr="000E1D60">
              <w:rPr>
                <w:rFonts w:ascii="Arial" w:hAnsi="Arial" w:cs="Arial"/>
                <w:b/>
              </w:rPr>
              <w:t>Yes No</w:t>
            </w:r>
          </w:p>
          <w:p w:rsidR="00DC50C6" w:rsidRPr="000E1D60" w:rsidRDefault="00DC50C6" w:rsidP="00DC50C6">
            <w:r w:rsidRPr="000E1D60">
              <w:rPr>
                <w:b/>
              </w:rPr>
              <w:t xml:space="preserve"> </w:t>
            </w:r>
            <w:r w:rsidRPr="000E1D60">
              <w:rPr>
                <w:rFonts w:ascii="Arial" w:hAnsi="Arial" w:cs="Arial"/>
                <w:b/>
              </w:rPr>
              <w:sym w:font="Wingdings" w:char="F06F"/>
            </w:r>
            <w:r w:rsidRPr="000E1D60">
              <w:rPr>
                <w:rFonts w:ascii="Arial" w:hAnsi="Arial" w:cs="Arial"/>
                <w:b/>
              </w:rPr>
              <w:t xml:space="preserve">  </w:t>
            </w:r>
            <w:r w:rsidRPr="000E1D60">
              <w:rPr>
                <w:rFonts w:ascii="Arial" w:hAnsi="Arial" w:cs="Arial"/>
                <w:b/>
              </w:rPr>
              <w:sym w:font="Wingdings" w:char="F06F"/>
            </w:r>
          </w:p>
        </w:tc>
      </w:tr>
      <w:tr w:rsidR="00DC50C6" w:rsidTr="00EC6ED3">
        <w:trPr>
          <w:trHeight w:val="845"/>
        </w:trPr>
        <w:tc>
          <w:tcPr>
            <w:tcW w:w="9606" w:type="dxa"/>
          </w:tcPr>
          <w:p w:rsidR="00DC50C6" w:rsidRDefault="00DC50C6" w:rsidP="00DC50C6">
            <w:pPr>
              <w:pStyle w:val="ListParagraph"/>
              <w:numPr>
                <w:ilvl w:val="0"/>
                <w:numId w:val="1"/>
              </w:numPr>
              <w:jc w:val="both"/>
            </w:pPr>
            <w:r w:rsidRPr="002E2F2E">
              <w:rPr>
                <w:rFonts w:ascii="Arial" w:hAnsi="Arial" w:cs="Arial"/>
              </w:rPr>
              <w:t>been determined not to be a fit and proper person as prescribed under any law of the Commonwealth or of a State or Territory of Australia, and if so, whether that determination remains in place;</w:t>
            </w:r>
            <w:r>
              <w:rPr>
                <w:rFonts w:ascii="Arial" w:hAnsi="Arial" w:cs="Arial"/>
              </w:rPr>
              <w:t xml:space="preserve"> and</w:t>
            </w:r>
          </w:p>
        </w:tc>
        <w:tc>
          <w:tcPr>
            <w:tcW w:w="1076" w:type="dxa"/>
          </w:tcPr>
          <w:p w:rsidR="00DC50C6" w:rsidRPr="000E1D60" w:rsidRDefault="00DC50C6" w:rsidP="00DC50C6">
            <w:pPr>
              <w:pStyle w:val="NoSpacing"/>
              <w:rPr>
                <w:rFonts w:ascii="Arial" w:hAnsi="Arial" w:cs="Arial"/>
                <w:b/>
              </w:rPr>
            </w:pPr>
            <w:r w:rsidRPr="000E1D60">
              <w:rPr>
                <w:rFonts w:ascii="Arial" w:hAnsi="Arial" w:cs="Arial"/>
                <w:b/>
              </w:rPr>
              <w:t>Yes No</w:t>
            </w:r>
          </w:p>
          <w:p w:rsidR="00DC50C6" w:rsidRPr="000E1D60" w:rsidRDefault="00DC50C6" w:rsidP="00DC50C6">
            <w:r w:rsidRPr="000E1D60">
              <w:rPr>
                <w:b/>
              </w:rPr>
              <w:t xml:space="preserve"> </w:t>
            </w:r>
            <w:r w:rsidRPr="000E1D60">
              <w:rPr>
                <w:rFonts w:ascii="Arial" w:hAnsi="Arial" w:cs="Arial"/>
                <w:b/>
              </w:rPr>
              <w:sym w:font="Wingdings" w:char="F06F"/>
            </w:r>
            <w:r w:rsidRPr="000E1D60">
              <w:rPr>
                <w:rFonts w:ascii="Arial" w:hAnsi="Arial" w:cs="Arial"/>
                <w:b/>
              </w:rPr>
              <w:t xml:space="preserve">  </w:t>
            </w:r>
            <w:r w:rsidRPr="000E1D60">
              <w:rPr>
                <w:rFonts w:ascii="Arial" w:hAnsi="Arial" w:cs="Arial"/>
                <w:b/>
              </w:rPr>
              <w:sym w:font="Wingdings" w:char="F06F"/>
            </w:r>
          </w:p>
        </w:tc>
      </w:tr>
      <w:tr w:rsidR="00DC50C6" w:rsidTr="00EC6ED3">
        <w:trPr>
          <w:trHeight w:val="560"/>
        </w:trPr>
        <w:tc>
          <w:tcPr>
            <w:tcW w:w="9606" w:type="dxa"/>
          </w:tcPr>
          <w:p w:rsidR="00DC50C6" w:rsidRDefault="00DC50C6" w:rsidP="00DC50C6">
            <w:pPr>
              <w:pStyle w:val="ListParagraph"/>
              <w:numPr>
                <w:ilvl w:val="0"/>
                <w:numId w:val="1"/>
              </w:numPr>
              <w:jc w:val="both"/>
            </w:pPr>
            <w:proofErr w:type="gramStart"/>
            <w:r w:rsidRPr="002E2F2E">
              <w:rPr>
                <w:rFonts w:ascii="Arial" w:hAnsi="Arial" w:cs="Arial"/>
              </w:rPr>
              <w:t>been</w:t>
            </w:r>
            <w:proofErr w:type="gramEnd"/>
            <w:r w:rsidRPr="002E2F2E">
              <w:rPr>
                <w:rFonts w:ascii="Arial" w:hAnsi="Arial" w:cs="Arial"/>
              </w:rPr>
              <w:t xml:space="preserve"> an executive officer or high managerial agent of an RTO at a time that the RTO was determined to have breached a government training contract.</w:t>
            </w:r>
          </w:p>
        </w:tc>
        <w:tc>
          <w:tcPr>
            <w:tcW w:w="1076" w:type="dxa"/>
          </w:tcPr>
          <w:p w:rsidR="00DC50C6" w:rsidRPr="000E1D60" w:rsidRDefault="00DC50C6" w:rsidP="00DC50C6">
            <w:pPr>
              <w:pStyle w:val="NoSpacing"/>
              <w:rPr>
                <w:rFonts w:ascii="Arial" w:hAnsi="Arial" w:cs="Arial"/>
                <w:b/>
              </w:rPr>
            </w:pPr>
            <w:r w:rsidRPr="000E1D60">
              <w:rPr>
                <w:rFonts w:ascii="Arial" w:hAnsi="Arial" w:cs="Arial"/>
                <w:b/>
              </w:rPr>
              <w:t>Yes No</w:t>
            </w:r>
          </w:p>
          <w:p w:rsidR="00DC50C6" w:rsidRPr="000E1D60" w:rsidRDefault="00DC50C6" w:rsidP="00DC50C6">
            <w:pPr>
              <w:pStyle w:val="NoSpacing"/>
              <w:rPr>
                <w:rFonts w:ascii="Arial" w:hAnsi="Arial" w:cs="Arial"/>
                <w:b/>
              </w:rPr>
            </w:pPr>
            <w:r w:rsidRPr="000E1D60">
              <w:rPr>
                <w:b/>
              </w:rPr>
              <w:t xml:space="preserve"> </w:t>
            </w:r>
            <w:r w:rsidRPr="000E1D60">
              <w:rPr>
                <w:rFonts w:ascii="Arial" w:hAnsi="Arial" w:cs="Arial"/>
                <w:b/>
              </w:rPr>
              <w:sym w:font="Wingdings" w:char="F06F"/>
            </w:r>
            <w:r w:rsidRPr="000E1D60">
              <w:rPr>
                <w:rFonts w:ascii="Arial" w:hAnsi="Arial" w:cs="Arial"/>
                <w:b/>
              </w:rPr>
              <w:t xml:space="preserve">  </w:t>
            </w:r>
            <w:r w:rsidRPr="000E1D60">
              <w:rPr>
                <w:rFonts w:ascii="Arial" w:hAnsi="Arial" w:cs="Arial"/>
                <w:b/>
              </w:rPr>
              <w:sym w:font="Wingdings" w:char="F06F"/>
            </w:r>
          </w:p>
        </w:tc>
      </w:tr>
    </w:tbl>
    <w:p w:rsidR="003D5AF8" w:rsidRDefault="003D5AF8" w:rsidP="00DC50C6">
      <w:pPr>
        <w:rPr>
          <w:rFonts w:ascii="Arial" w:hAnsi="Arial" w:cs="Arial"/>
          <w:b/>
        </w:rPr>
      </w:pPr>
    </w:p>
    <w:p w:rsidR="00DC50C6" w:rsidRPr="003D5AF8" w:rsidRDefault="003D5AF8" w:rsidP="00DC50C6">
      <w:pPr>
        <w:rPr>
          <w:rFonts w:ascii="Arial" w:hAnsi="Arial" w:cs="Arial"/>
          <w:b/>
        </w:rPr>
      </w:pPr>
      <w:r w:rsidRPr="003D5AF8">
        <w:rPr>
          <w:rFonts w:ascii="Arial" w:hAnsi="Arial" w:cs="Arial"/>
          <w:b/>
        </w:rPr>
        <w:t>I</w:t>
      </w:r>
      <w:r w:rsidRPr="003D5AF8">
        <w:rPr>
          <w:rFonts w:ascii="Arial" w:hAnsi="Arial" w:cs="Arial"/>
          <w:b/>
          <w:spacing w:val="2"/>
        </w:rPr>
        <w:t xml:space="preserve"> </w:t>
      </w:r>
      <w:r w:rsidRPr="003D5AF8">
        <w:rPr>
          <w:rFonts w:ascii="Arial" w:hAnsi="Arial" w:cs="Arial"/>
          <w:b/>
          <w:spacing w:val="-1"/>
        </w:rPr>
        <w:t>certify</w:t>
      </w:r>
      <w:r w:rsidRPr="003D5AF8">
        <w:rPr>
          <w:rFonts w:ascii="Arial" w:hAnsi="Arial" w:cs="Arial"/>
          <w:b/>
          <w:spacing w:val="-4"/>
        </w:rPr>
        <w:t xml:space="preserve"> </w:t>
      </w:r>
      <w:r w:rsidRPr="003D5AF8">
        <w:rPr>
          <w:rFonts w:ascii="Arial" w:hAnsi="Arial" w:cs="Arial"/>
          <w:b/>
          <w:spacing w:val="-1"/>
        </w:rPr>
        <w:t>that all</w:t>
      </w:r>
      <w:r w:rsidRPr="003D5AF8">
        <w:rPr>
          <w:rFonts w:ascii="Arial" w:hAnsi="Arial" w:cs="Arial"/>
          <w:b/>
        </w:rPr>
        <w:t xml:space="preserve"> </w:t>
      </w:r>
      <w:r w:rsidRPr="003D5AF8">
        <w:rPr>
          <w:rFonts w:ascii="Arial" w:hAnsi="Arial" w:cs="Arial"/>
          <w:b/>
          <w:spacing w:val="-2"/>
        </w:rPr>
        <w:t>of</w:t>
      </w:r>
      <w:r w:rsidRPr="003D5AF8">
        <w:rPr>
          <w:rFonts w:ascii="Arial" w:hAnsi="Arial" w:cs="Arial"/>
          <w:b/>
          <w:spacing w:val="2"/>
        </w:rPr>
        <w:t xml:space="preserve"> </w:t>
      </w:r>
      <w:r w:rsidRPr="003D5AF8">
        <w:rPr>
          <w:rFonts w:ascii="Arial" w:hAnsi="Arial" w:cs="Arial"/>
          <w:b/>
        </w:rPr>
        <w:t>the</w:t>
      </w:r>
      <w:r w:rsidRPr="003D5AF8">
        <w:rPr>
          <w:rFonts w:ascii="Arial" w:hAnsi="Arial" w:cs="Arial"/>
          <w:b/>
          <w:spacing w:val="-2"/>
        </w:rPr>
        <w:t xml:space="preserve"> </w:t>
      </w:r>
      <w:r w:rsidRPr="003D5AF8">
        <w:rPr>
          <w:rFonts w:ascii="Arial" w:hAnsi="Arial" w:cs="Arial"/>
          <w:b/>
          <w:spacing w:val="-1"/>
        </w:rPr>
        <w:t>details</w:t>
      </w:r>
      <w:r w:rsidRPr="003D5AF8">
        <w:rPr>
          <w:rFonts w:ascii="Arial" w:hAnsi="Arial" w:cs="Arial"/>
          <w:b/>
          <w:spacing w:val="1"/>
        </w:rPr>
        <w:t xml:space="preserve"> </w:t>
      </w:r>
      <w:r w:rsidRPr="003D5AF8">
        <w:rPr>
          <w:rFonts w:ascii="Arial" w:hAnsi="Arial" w:cs="Arial"/>
          <w:b/>
        </w:rPr>
        <w:t>stated</w:t>
      </w:r>
      <w:r w:rsidRPr="003D5AF8">
        <w:rPr>
          <w:rFonts w:ascii="Arial" w:hAnsi="Arial" w:cs="Arial"/>
          <w:b/>
          <w:spacing w:val="-2"/>
        </w:rPr>
        <w:t xml:space="preserve"> </w:t>
      </w:r>
      <w:r w:rsidRPr="003D5AF8">
        <w:rPr>
          <w:rFonts w:ascii="Arial" w:hAnsi="Arial" w:cs="Arial"/>
          <w:b/>
        </w:rPr>
        <w:t>on</w:t>
      </w:r>
      <w:r w:rsidRPr="003D5AF8">
        <w:rPr>
          <w:rFonts w:ascii="Arial" w:hAnsi="Arial" w:cs="Arial"/>
          <w:b/>
          <w:spacing w:val="-2"/>
        </w:rPr>
        <w:t xml:space="preserve"> </w:t>
      </w:r>
      <w:r w:rsidRPr="003D5AF8">
        <w:rPr>
          <w:rFonts w:ascii="Arial" w:hAnsi="Arial" w:cs="Arial"/>
          <w:b/>
          <w:spacing w:val="-1"/>
        </w:rPr>
        <w:t>this</w:t>
      </w:r>
      <w:r w:rsidRPr="003D5AF8">
        <w:rPr>
          <w:rFonts w:ascii="Arial" w:hAnsi="Arial" w:cs="Arial"/>
          <w:b/>
          <w:spacing w:val="-2"/>
        </w:rPr>
        <w:t xml:space="preserve"> </w:t>
      </w:r>
      <w:r w:rsidRPr="003D5AF8">
        <w:rPr>
          <w:rFonts w:ascii="Arial" w:hAnsi="Arial" w:cs="Arial"/>
          <w:b/>
          <w:spacing w:val="-1"/>
        </w:rPr>
        <w:t xml:space="preserve">form, </w:t>
      </w:r>
      <w:r w:rsidRPr="003D5AF8">
        <w:rPr>
          <w:rFonts w:ascii="Arial" w:hAnsi="Arial" w:cs="Arial"/>
          <w:b/>
          <w:spacing w:val="-2"/>
        </w:rPr>
        <w:t>as</w:t>
      </w:r>
      <w:r w:rsidRPr="003D5AF8">
        <w:rPr>
          <w:rFonts w:ascii="Arial" w:hAnsi="Arial" w:cs="Arial"/>
          <w:b/>
          <w:spacing w:val="1"/>
        </w:rPr>
        <w:t xml:space="preserve"> </w:t>
      </w:r>
      <w:r w:rsidRPr="003D5AF8">
        <w:rPr>
          <w:rFonts w:ascii="Arial" w:hAnsi="Arial" w:cs="Arial"/>
          <w:b/>
          <w:spacing w:val="-1"/>
        </w:rPr>
        <w:t>provided</w:t>
      </w:r>
      <w:r w:rsidRPr="003D5AF8">
        <w:rPr>
          <w:rFonts w:ascii="Arial" w:hAnsi="Arial" w:cs="Arial"/>
          <w:b/>
        </w:rPr>
        <w:t xml:space="preserve"> by</w:t>
      </w:r>
      <w:r w:rsidRPr="003D5AF8">
        <w:rPr>
          <w:rFonts w:ascii="Arial" w:hAnsi="Arial" w:cs="Arial"/>
          <w:b/>
          <w:spacing w:val="-2"/>
        </w:rPr>
        <w:t xml:space="preserve"> </w:t>
      </w:r>
      <w:r w:rsidRPr="003D5AF8">
        <w:rPr>
          <w:rFonts w:ascii="Arial" w:hAnsi="Arial" w:cs="Arial"/>
          <w:b/>
        </w:rPr>
        <w:t>me,</w:t>
      </w:r>
      <w:r w:rsidRPr="003D5AF8">
        <w:rPr>
          <w:rFonts w:ascii="Arial" w:hAnsi="Arial" w:cs="Arial"/>
          <w:b/>
          <w:spacing w:val="-1"/>
        </w:rPr>
        <w:t xml:space="preserve"> </w:t>
      </w:r>
      <w:r w:rsidRPr="003D5AF8">
        <w:rPr>
          <w:rFonts w:ascii="Arial" w:hAnsi="Arial" w:cs="Arial"/>
          <w:b/>
        </w:rPr>
        <w:t>are</w:t>
      </w:r>
      <w:r w:rsidRPr="003D5AF8">
        <w:rPr>
          <w:rFonts w:ascii="Arial" w:hAnsi="Arial" w:cs="Arial"/>
          <w:b/>
          <w:spacing w:val="-4"/>
        </w:rPr>
        <w:t xml:space="preserve"> </w:t>
      </w:r>
      <w:r w:rsidRPr="003D5AF8">
        <w:rPr>
          <w:rFonts w:ascii="Arial" w:hAnsi="Arial" w:cs="Arial"/>
          <w:b/>
          <w:spacing w:val="-1"/>
        </w:rPr>
        <w:t>true</w:t>
      </w:r>
      <w:r w:rsidRPr="003D5AF8">
        <w:rPr>
          <w:rFonts w:ascii="Arial" w:hAnsi="Arial" w:cs="Arial"/>
          <w:b/>
        </w:rPr>
        <w:t xml:space="preserve"> and </w:t>
      </w:r>
      <w:r w:rsidRPr="003D5AF8">
        <w:rPr>
          <w:rFonts w:ascii="Arial" w:hAnsi="Arial" w:cs="Arial"/>
          <w:b/>
          <w:spacing w:val="-1"/>
        </w:rPr>
        <w:t>correct.</w:t>
      </w:r>
    </w:p>
    <w:p w:rsidR="00E35DA7" w:rsidRDefault="00E35DA7" w:rsidP="00DC50C6">
      <w:pPr>
        <w:pStyle w:val="NoSpacing"/>
        <w:rPr>
          <w:rFonts w:ascii="Arial" w:hAnsi="Arial" w:cs="Arial"/>
        </w:rPr>
      </w:pPr>
    </w:p>
    <w:p w:rsidR="00DC50C6" w:rsidRDefault="00DC50C6" w:rsidP="00DC50C6">
      <w:pPr>
        <w:pStyle w:val="NoSpacing"/>
        <w:rPr>
          <w:rFonts w:ascii="Arial" w:hAnsi="Arial" w:cs="Arial"/>
          <w:sz w:val="28"/>
          <w:u w:val="single"/>
        </w:rPr>
      </w:pPr>
      <w:r w:rsidRPr="000E0AB4">
        <w:rPr>
          <w:rFonts w:ascii="Arial" w:hAnsi="Arial" w:cs="Arial"/>
        </w:rPr>
        <w:t>Name:</w:t>
      </w:r>
      <w:r w:rsidRPr="000E0AB4">
        <w:rPr>
          <w:rFonts w:ascii="Arial" w:hAnsi="Arial" w:cs="Arial"/>
          <w:sz w:val="28"/>
          <w:u w:val="single"/>
        </w:rPr>
        <w:tab/>
      </w:r>
      <w:r w:rsidRPr="000E0AB4">
        <w:rPr>
          <w:rFonts w:ascii="Arial" w:hAnsi="Arial" w:cs="Arial"/>
          <w:sz w:val="28"/>
          <w:u w:val="single"/>
        </w:rPr>
        <w:tab/>
      </w:r>
      <w:r w:rsidRPr="000E0AB4">
        <w:rPr>
          <w:rFonts w:ascii="Arial" w:hAnsi="Arial" w:cs="Arial"/>
          <w:sz w:val="28"/>
          <w:u w:val="single"/>
        </w:rPr>
        <w:tab/>
      </w:r>
      <w:r w:rsidRPr="000E0AB4">
        <w:rPr>
          <w:rFonts w:ascii="Arial" w:hAnsi="Arial" w:cs="Arial"/>
          <w:sz w:val="28"/>
          <w:u w:val="single"/>
        </w:rPr>
        <w:tab/>
      </w:r>
      <w:r>
        <w:rPr>
          <w:rFonts w:ascii="Arial" w:hAnsi="Arial" w:cs="Arial"/>
          <w:sz w:val="28"/>
          <w:u w:val="single"/>
        </w:rPr>
        <w:tab/>
      </w:r>
      <w:r>
        <w:rPr>
          <w:rFonts w:ascii="Arial" w:hAnsi="Arial" w:cs="Arial"/>
        </w:rPr>
        <w:tab/>
      </w:r>
      <w:r>
        <w:rPr>
          <w:rFonts w:ascii="Arial" w:hAnsi="Arial" w:cs="Arial"/>
        </w:rPr>
        <w:tab/>
      </w:r>
      <w:r>
        <w:rPr>
          <w:rFonts w:ascii="Arial" w:hAnsi="Arial" w:cs="Arial"/>
        </w:rPr>
        <w:tab/>
      </w:r>
      <w:r w:rsidRPr="000E0AB4">
        <w:rPr>
          <w:rFonts w:ascii="Arial" w:hAnsi="Arial" w:cs="Arial"/>
        </w:rPr>
        <w:t>Date:</w:t>
      </w:r>
      <w:r w:rsidRPr="000E0AB4">
        <w:rPr>
          <w:rFonts w:ascii="Arial" w:hAnsi="Arial" w:cs="Arial"/>
          <w:sz w:val="28"/>
          <w:u w:val="single"/>
        </w:rPr>
        <w:tab/>
      </w:r>
      <w:r w:rsidRPr="000E0AB4">
        <w:rPr>
          <w:rFonts w:ascii="Arial" w:hAnsi="Arial" w:cs="Arial"/>
          <w:sz w:val="28"/>
          <w:u w:val="single"/>
        </w:rPr>
        <w:tab/>
      </w:r>
      <w:r w:rsidRPr="000E0AB4">
        <w:rPr>
          <w:rFonts w:ascii="Arial" w:hAnsi="Arial" w:cs="Arial"/>
          <w:sz w:val="28"/>
          <w:u w:val="single"/>
        </w:rPr>
        <w:tab/>
      </w:r>
      <w:r w:rsidRPr="000E0AB4">
        <w:rPr>
          <w:rFonts w:ascii="Arial" w:hAnsi="Arial" w:cs="Arial"/>
          <w:sz w:val="28"/>
          <w:u w:val="single"/>
        </w:rPr>
        <w:tab/>
      </w:r>
    </w:p>
    <w:p w:rsidR="00DC50C6" w:rsidRDefault="00DC50C6" w:rsidP="00DC50C6">
      <w:pPr>
        <w:pStyle w:val="NoSpacing"/>
        <w:rPr>
          <w:rFonts w:ascii="Arial" w:hAnsi="Arial" w:cs="Arial"/>
        </w:rPr>
      </w:pPr>
    </w:p>
    <w:p w:rsidR="00DC50C6" w:rsidRPr="006F6FED" w:rsidRDefault="00DC50C6" w:rsidP="00DC50C6">
      <w:pPr>
        <w:pStyle w:val="NoSpacing"/>
        <w:rPr>
          <w:rFonts w:ascii="Arial" w:hAnsi="Arial" w:cs="Arial"/>
        </w:rPr>
      </w:pPr>
    </w:p>
    <w:p w:rsidR="00DC50C6" w:rsidRDefault="00DC50C6" w:rsidP="00DC50C6">
      <w:pPr>
        <w:pStyle w:val="NoSpacing"/>
        <w:rPr>
          <w:rFonts w:ascii="Arial" w:hAnsi="Arial" w:cs="Arial"/>
          <w:sz w:val="28"/>
          <w:u w:val="single"/>
        </w:rPr>
      </w:pPr>
      <w:r w:rsidRPr="000E0AB4">
        <w:rPr>
          <w:rFonts w:ascii="Arial" w:hAnsi="Arial" w:cs="Arial"/>
        </w:rPr>
        <w:t>Signature:</w:t>
      </w:r>
      <w:r w:rsidRPr="000E0AB4">
        <w:rPr>
          <w:rFonts w:ascii="Arial" w:hAnsi="Arial" w:cs="Arial"/>
          <w:sz w:val="28"/>
          <w:u w:val="single"/>
        </w:rPr>
        <w:tab/>
      </w:r>
      <w:r w:rsidRPr="000E0AB4">
        <w:rPr>
          <w:rFonts w:ascii="Arial" w:hAnsi="Arial" w:cs="Arial"/>
          <w:sz w:val="28"/>
          <w:u w:val="single"/>
        </w:rPr>
        <w:tab/>
      </w:r>
      <w:r w:rsidRPr="000E0AB4">
        <w:rPr>
          <w:rFonts w:ascii="Arial" w:hAnsi="Arial" w:cs="Arial"/>
          <w:sz w:val="28"/>
          <w:u w:val="single"/>
        </w:rPr>
        <w:tab/>
      </w:r>
      <w:r w:rsidRPr="000E0AB4">
        <w:rPr>
          <w:rFonts w:ascii="Arial" w:hAnsi="Arial" w:cs="Arial"/>
          <w:sz w:val="28"/>
          <w:u w:val="single"/>
        </w:rPr>
        <w:tab/>
      </w:r>
    </w:p>
    <w:p w:rsidR="00DC50C6" w:rsidRPr="000E0AB4" w:rsidRDefault="00DC50C6" w:rsidP="00DC50C6">
      <w:pPr>
        <w:pStyle w:val="NoSpacing"/>
        <w:rPr>
          <w:rFonts w:ascii="Arial" w:hAnsi="Arial" w:cs="Arial"/>
          <w:sz w:val="28"/>
        </w:rPr>
      </w:pPr>
    </w:p>
    <w:p w:rsidR="00DC50C6" w:rsidRPr="000E0AB4" w:rsidRDefault="00DC50C6" w:rsidP="00DC50C6">
      <w:pPr>
        <w:pStyle w:val="NoSpacing"/>
        <w:rPr>
          <w:rFonts w:ascii="Arial" w:hAnsi="Arial" w:cs="Arial"/>
          <w:sz w:val="28"/>
        </w:rPr>
      </w:pPr>
      <w:r w:rsidRPr="000E0AB4">
        <w:rPr>
          <w:rFonts w:ascii="Arial" w:hAnsi="Arial" w:cs="Arial"/>
        </w:rPr>
        <w:t>Witness (person over 18 years of age):</w:t>
      </w:r>
      <w:r w:rsidRPr="00DC50C6">
        <w:rPr>
          <w:rFonts w:ascii="Arial" w:hAnsi="Arial" w:cs="Arial"/>
          <w:sz w:val="28"/>
          <w:u w:val="single"/>
        </w:rPr>
        <w:t xml:space="preserve"> </w:t>
      </w:r>
      <w:r w:rsidRPr="000E0AB4">
        <w:rPr>
          <w:rFonts w:ascii="Arial" w:hAnsi="Arial" w:cs="Arial"/>
          <w:sz w:val="28"/>
          <w:u w:val="single"/>
        </w:rPr>
        <w:tab/>
      </w:r>
      <w:r w:rsidRPr="000E0AB4">
        <w:rPr>
          <w:rFonts w:ascii="Arial" w:hAnsi="Arial" w:cs="Arial"/>
          <w:sz w:val="28"/>
          <w:u w:val="single"/>
        </w:rPr>
        <w:tab/>
      </w:r>
      <w:r w:rsidRPr="000E0AB4">
        <w:rPr>
          <w:rFonts w:ascii="Arial" w:hAnsi="Arial" w:cs="Arial"/>
          <w:sz w:val="28"/>
          <w:u w:val="single"/>
        </w:rPr>
        <w:tab/>
      </w:r>
      <w:r w:rsidRPr="000E0AB4">
        <w:rPr>
          <w:rFonts w:ascii="Arial" w:hAnsi="Arial" w:cs="Arial"/>
          <w:sz w:val="28"/>
          <w:u w:val="single"/>
        </w:rPr>
        <w:tab/>
      </w:r>
      <w:bookmarkStart w:id="0" w:name="_GoBack"/>
      <w:bookmarkEnd w:id="0"/>
    </w:p>
    <w:sectPr w:rsidR="00DC50C6" w:rsidRPr="000E0AB4" w:rsidSect="00DC50C6">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0C6" w:rsidRDefault="00DC50C6" w:rsidP="00DC50C6">
      <w:pPr>
        <w:spacing w:after="0" w:line="240" w:lineRule="auto"/>
      </w:pPr>
      <w:r>
        <w:separator/>
      </w:r>
    </w:p>
  </w:endnote>
  <w:endnote w:type="continuationSeparator" w:id="0">
    <w:p w:rsidR="00DC50C6" w:rsidRDefault="00DC50C6" w:rsidP="00DC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0C6" w:rsidRDefault="00DC50C6" w:rsidP="00DC50C6">
      <w:pPr>
        <w:spacing w:after="0" w:line="240" w:lineRule="auto"/>
      </w:pPr>
      <w:r>
        <w:separator/>
      </w:r>
    </w:p>
  </w:footnote>
  <w:footnote w:type="continuationSeparator" w:id="0">
    <w:p w:rsidR="00DC50C6" w:rsidRDefault="00DC50C6" w:rsidP="00DC5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0C6" w:rsidRPr="00474FA4" w:rsidRDefault="00DC50C6" w:rsidP="00DC50C6">
    <w:pPr>
      <w:pStyle w:val="Header"/>
      <w:rPr>
        <w:rFonts w:ascii="Arial" w:hAnsi="Arial" w:cs="Arial"/>
        <w:b/>
      </w:rPr>
    </w:pPr>
    <w:r w:rsidRPr="00474FA4">
      <w:rPr>
        <w:rFonts w:ascii="Arial" w:hAnsi="Arial" w:cs="Arial"/>
        <w:b/>
      </w:rPr>
      <w:t>GOVERNIN</w:t>
    </w:r>
    <w:r>
      <w:rPr>
        <w:rFonts w:ascii="Arial" w:hAnsi="Arial" w:cs="Arial"/>
        <w:b/>
      </w:rPr>
      <w:t>G COUNCIL FIT AND PROPER PERSON DECLARATION</w:t>
    </w:r>
  </w:p>
  <w:p w:rsidR="00DC50C6" w:rsidRDefault="00DC50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17712"/>
    <w:multiLevelType w:val="hybridMultilevel"/>
    <w:tmpl w:val="15A019D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0C6"/>
    <w:rsid w:val="000E1D60"/>
    <w:rsid w:val="00175B12"/>
    <w:rsid w:val="002C3736"/>
    <w:rsid w:val="002D4917"/>
    <w:rsid w:val="003D5AF8"/>
    <w:rsid w:val="0061765F"/>
    <w:rsid w:val="006D1BBA"/>
    <w:rsid w:val="00934A5F"/>
    <w:rsid w:val="00A27619"/>
    <w:rsid w:val="00A71A55"/>
    <w:rsid w:val="00C15984"/>
    <w:rsid w:val="00C641A2"/>
    <w:rsid w:val="00D91BB2"/>
    <w:rsid w:val="00DC50C6"/>
    <w:rsid w:val="00DE2EA2"/>
    <w:rsid w:val="00E35DA7"/>
    <w:rsid w:val="00EC6E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0C6"/>
  </w:style>
  <w:style w:type="paragraph" w:styleId="Footer">
    <w:name w:val="footer"/>
    <w:basedOn w:val="Normal"/>
    <w:link w:val="FooterChar"/>
    <w:uiPriority w:val="99"/>
    <w:unhideWhenUsed/>
    <w:rsid w:val="00DC5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0C6"/>
  </w:style>
  <w:style w:type="table" w:styleId="TableGrid">
    <w:name w:val="Table Grid"/>
    <w:basedOn w:val="TableNormal"/>
    <w:uiPriority w:val="59"/>
    <w:rsid w:val="00DC5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DC50C6"/>
    <w:pPr>
      <w:ind w:left="720"/>
      <w:contextualSpacing/>
    </w:pPr>
  </w:style>
  <w:style w:type="paragraph" w:styleId="NoSpacing">
    <w:name w:val="No Spacing"/>
    <w:uiPriority w:val="1"/>
    <w:qFormat/>
    <w:rsid w:val="00DC50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0C6"/>
  </w:style>
  <w:style w:type="paragraph" w:styleId="Footer">
    <w:name w:val="footer"/>
    <w:basedOn w:val="Normal"/>
    <w:link w:val="FooterChar"/>
    <w:uiPriority w:val="99"/>
    <w:unhideWhenUsed/>
    <w:rsid w:val="00DC5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0C6"/>
  </w:style>
  <w:style w:type="table" w:styleId="TableGrid">
    <w:name w:val="Table Grid"/>
    <w:basedOn w:val="TableNormal"/>
    <w:uiPriority w:val="59"/>
    <w:rsid w:val="00DC5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DC50C6"/>
    <w:pPr>
      <w:ind w:left="720"/>
      <w:contextualSpacing/>
    </w:pPr>
  </w:style>
  <w:style w:type="paragraph" w:styleId="NoSpacing">
    <w:name w:val="No Spacing"/>
    <w:uiPriority w:val="1"/>
    <w:qFormat/>
    <w:rsid w:val="00DC50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DF17DEE9CF5E459FDDB803475ADFD6" ma:contentTypeVersion="1" ma:contentTypeDescription="Create a new document." ma:contentTypeScope="" ma:versionID="ea2510f16916c199a16f8142fdac9ac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50D58F-40C7-443C-B015-774B7D66065E}"/>
</file>

<file path=customXml/itemProps2.xml><?xml version="1.0" encoding="utf-8"?>
<ds:datastoreItem xmlns:ds="http://schemas.openxmlformats.org/officeDocument/2006/customXml" ds:itemID="{6939C665-6A49-4537-9FC2-01D91B591151}"/>
</file>

<file path=customXml/itemProps3.xml><?xml version="1.0" encoding="utf-8"?>
<ds:datastoreItem xmlns:ds="http://schemas.openxmlformats.org/officeDocument/2006/customXml" ds:itemID="{96C6237F-7166-4A04-9016-2506E2DF8E7C}"/>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2450</Characters>
  <Application>Microsoft Office Word</Application>
  <DocSecurity>0</DocSecurity>
  <Lines>66</Lines>
  <Paragraphs>36</Paragraphs>
  <ScaleCrop>false</ScaleCrop>
  <HeadingPairs>
    <vt:vector size="2" baseType="variant">
      <vt:variant>
        <vt:lpstr>Title</vt:lpstr>
      </vt:variant>
      <vt:variant>
        <vt:i4>1</vt:i4>
      </vt:variant>
    </vt:vector>
  </HeadingPairs>
  <TitlesOfParts>
    <vt:vector size="1" baseType="lpstr">
      <vt:lpstr/>
    </vt:vector>
  </TitlesOfParts>
  <Company>DTWD</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Cloake</dc:creator>
  <cp:lastModifiedBy>John Cloake</cp:lastModifiedBy>
  <cp:revision>2</cp:revision>
  <cp:lastPrinted>2016-03-09T04:08:00Z</cp:lastPrinted>
  <dcterms:created xsi:type="dcterms:W3CDTF">2016-03-16T04:00:00Z</dcterms:created>
  <dcterms:modified xsi:type="dcterms:W3CDTF">2016-03-16T04:00:00Z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0x010100BFDF17DEE9CF5E459FDDB803475ADFD6</vt:lpwstr>
  </property>
</Properties>
</file>